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3C1" w:rsidRDefault="00B028A2">
      <w:pPr>
        <w:pStyle w:val="NormalWeb"/>
        <w:jc w:val="center"/>
        <w:rPr>
          <w:rFonts w:ascii="Arial" w:hAnsi="Arial" w:cs="Arial"/>
          <w:b/>
          <w:u w:val="single"/>
        </w:rPr>
      </w:pPr>
      <w:r>
        <w:rPr>
          <w:rFonts w:ascii="Arial" w:hAnsi="Arial" w:cs="Arial"/>
          <w:b/>
          <w:u w:val="single"/>
        </w:rPr>
        <w:t>STUDENTS</w:t>
      </w:r>
    </w:p>
    <w:p w:rsidR="000633C1" w:rsidRDefault="00B028A2">
      <w:pPr>
        <w:pStyle w:val="NormalWeb"/>
        <w:rPr>
          <w:rFonts w:ascii="Arial" w:hAnsi="Arial" w:cs="Arial"/>
          <w:b/>
          <w:color w:val="000080"/>
          <w:sz w:val="27"/>
        </w:rPr>
      </w:pPr>
      <w:r>
        <w:rPr>
          <w:rFonts w:ascii="Arial" w:hAnsi="Arial" w:cs="Arial"/>
          <w:b/>
          <w:color w:val="000080"/>
          <w:sz w:val="27"/>
        </w:rPr>
        <w:t>7:20 Harassment of Students Prohibited</w:t>
      </w:r>
    </w:p>
    <w:p w:rsidR="000633C1" w:rsidRPr="005D5654" w:rsidRDefault="00B028A2">
      <w:pPr>
        <w:pStyle w:val="NormalWeb"/>
        <w:rPr>
          <w:rFonts w:ascii="Arial" w:hAnsi="Arial" w:cs="Arial"/>
          <w:sz w:val="20"/>
        </w:rPr>
      </w:pPr>
      <w:r w:rsidRPr="005D5654">
        <w:rPr>
          <w:rFonts w:ascii="Arial" w:hAnsi="Arial" w:cs="Arial"/>
          <w:sz w:val="20"/>
          <w:u w:val="single"/>
        </w:rPr>
        <w:t>Bullying, Intimidation, and Harassment Prohibited</w:t>
      </w:r>
    </w:p>
    <w:p w:rsidR="000633C1" w:rsidRPr="005D5654" w:rsidRDefault="00B028A2">
      <w:pPr>
        <w:pStyle w:val="NormalWeb"/>
        <w:rPr>
          <w:rFonts w:ascii="Arial" w:hAnsi="Arial" w:cs="Arial"/>
          <w:sz w:val="20"/>
        </w:rPr>
      </w:pPr>
      <w:r w:rsidRPr="005D5654">
        <w:rPr>
          <w:rFonts w:ascii="Arial" w:hAnsi="Arial" w:cs="Arial"/>
          <w:sz w:val="20"/>
        </w:rPr>
        <w:t>No person, including a Cooperative employee or agent, or student, shall harass, intimidate, or bully a student on the basis of actual or perceived: race; color; national origin; military status; unfavorable discharge status from military service; sex; sexual orientation; gender identity; gender-related identity or expression; ancestry; age; religion; physical or mental disability; order of protection status; status of being homeless; actual or potential marital or parental status, including pregnancy; association with a person or group with one or more of the aforementioned actual or perceived characteristics; or any other distinguishing characteristic. The Cooperative will not tolerate harassing, intimidating conduct, or bullying whether verbal, physical, sexual, or visual, that affects the tangible benefits of education, that unreasonably interferes with a student’s educational performance, or that creates an intimidating, hostile, or offensive educational environment. Examples of prohibited conduct include name-calling, using derogatory slurs, stalking, sexual violence, causing psychological harm, threatening or causing physical harm, threatened or actual destruction of property, or wearing or possessing items depicting or implying hatred or prejudice of one of the characteristics stated above.</w:t>
      </w:r>
    </w:p>
    <w:p w:rsidR="000633C1" w:rsidRPr="005D5654" w:rsidRDefault="00B028A2">
      <w:pPr>
        <w:pStyle w:val="NormalWeb"/>
        <w:rPr>
          <w:rFonts w:ascii="Arial" w:hAnsi="Arial" w:cs="Arial"/>
          <w:sz w:val="20"/>
        </w:rPr>
      </w:pPr>
      <w:r w:rsidRPr="005D5654">
        <w:rPr>
          <w:rFonts w:ascii="Arial" w:hAnsi="Arial" w:cs="Arial"/>
          <w:sz w:val="20"/>
          <w:u w:val="single"/>
        </w:rPr>
        <w:t>Sexual Harassment Prohibited</w:t>
      </w:r>
    </w:p>
    <w:p w:rsidR="000633C1" w:rsidRPr="005D5654" w:rsidRDefault="00B028A2">
      <w:pPr>
        <w:pStyle w:val="NormalWeb"/>
        <w:rPr>
          <w:rFonts w:ascii="Arial" w:hAnsi="Arial" w:cs="Arial"/>
          <w:sz w:val="20"/>
        </w:rPr>
      </w:pPr>
      <w:r w:rsidRPr="005D5654">
        <w:rPr>
          <w:rFonts w:ascii="Arial" w:hAnsi="Arial" w:cs="Arial"/>
          <w:sz w:val="20"/>
        </w:rPr>
        <w:t>Sexual harassment of students is prohibited.  Any person, including a Cooperative employee or agent, or student, engages in sexual harassment whenever he or she makes sexual advances, requests sexual favors, and/or engages in other verbal or physical conduct, including sexual violence, of a sexual or sex-based nature, imposed on the basis of sex, that:</w:t>
      </w:r>
    </w:p>
    <w:p w:rsidR="000633C1" w:rsidRPr="005D5654" w:rsidRDefault="00B028A2">
      <w:pPr>
        <w:pStyle w:val="NormalWeb"/>
        <w:numPr>
          <w:ilvl w:val="0"/>
          <w:numId w:val="1"/>
        </w:numPr>
        <w:rPr>
          <w:rFonts w:ascii="Arial" w:hAnsi="Arial" w:cs="Arial"/>
          <w:sz w:val="20"/>
        </w:rPr>
      </w:pPr>
      <w:r w:rsidRPr="005D5654">
        <w:rPr>
          <w:rFonts w:ascii="Arial" w:hAnsi="Arial" w:cs="Arial"/>
          <w:sz w:val="20"/>
        </w:rPr>
        <w:t>Denies or limits the provision of educational aid, benefits, services, or treatment; or that makes such conduct a condition of a student’s academic status; or</w:t>
      </w:r>
    </w:p>
    <w:p w:rsidR="000633C1" w:rsidRPr="005D5654" w:rsidRDefault="00B028A2">
      <w:pPr>
        <w:pStyle w:val="NormalWeb"/>
        <w:numPr>
          <w:ilvl w:val="0"/>
          <w:numId w:val="1"/>
        </w:numPr>
        <w:rPr>
          <w:rFonts w:ascii="Arial" w:hAnsi="Arial" w:cs="Arial"/>
          <w:sz w:val="20"/>
        </w:rPr>
      </w:pPr>
      <w:r w:rsidRPr="005D5654">
        <w:rPr>
          <w:rFonts w:ascii="Arial" w:hAnsi="Arial" w:cs="Arial"/>
          <w:sz w:val="20"/>
        </w:rPr>
        <w:t>Has the purpose or effect of:</w:t>
      </w:r>
    </w:p>
    <w:p w:rsidR="000633C1" w:rsidRPr="005D5654" w:rsidRDefault="00B028A2">
      <w:pPr>
        <w:pStyle w:val="NormalWeb"/>
        <w:numPr>
          <w:ilvl w:val="0"/>
          <w:numId w:val="2"/>
        </w:numPr>
        <w:ind w:left="600"/>
        <w:rPr>
          <w:rFonts w:ascii="Arial" w:hAnsi="Arial" w:cs="Arial"/>
          <w:sz w:val="20"/>
        </w:rPr>
      </w:pPr>
      <w:r w:rsidRPr="005D5654">
        <w:rPr>
          <w:rFonts w:ascii="Arial" w:hAnsi="Arial" w:cs="Arial"/>
          <w:sz w:val="20"/>
        </w:rPr>
        <w:t>Substantially interfering with a student’s educational environment;</w:t>
      </w:r>
    </w:p>
    <w:p w:rsidR="000633C1" w:rsidRPr="005D5654" w:rsidRDefault="00B028A2">
      <w:pPr>
        <w:pStyle w:val="NormalWeb"/>
        <w:numPr>
          <w:ilvl w:val="0"/>
          <w:numId w:val="2"/>
        </w:numPr>
        <w:ind w:left="600"/>
        <w:rPr>
          <w:rFonts w:ascii="Arial" w:hAnsi="Arial" w:cs="Arial"/>
          <w:sz w:val="20"/>
        </w:rPr>
      </w:pPr>
      <w:r w:rsidRPr="005D5654">
        <w:rPr>
          <w:rFonts w:ascii="Arial" w:hAnsi="Arial" w:cs="Arial"/>
          <w:sz w:val="20"/>
        </w:rPr>
        <w:t>Creating an intimidating, hostile, or offensive educational environment;</w:t>
      </w:r>
    </w:p>
    <w:p w:rsidR="000633C1" w:rsidRPr="005D5654" w:rsidRDefault="00B028A2">
      <w:pPr>
        <w:pStyle w:val="NormalWeb"/>
        <w:numPr>
          <w:ilvl w:val="0"/>
          <w:numId w:val="2"/>
        </w:numPr>
        <w:ind w:left="600"/>
        <w:rPr>
          <w:rFonts w:ascii="Arial" w:hAnsi="Arial" w:cs="Arial"/>
          <w:sz w:val="20"/>
        </w:rPr>
      </w:pPr>
      <w:r w:rsidRPr="005D5654">
        <w:rPr>
          <w:rFonts w:ascii="Arial" w:hAnsi="Arial" w:cs="Arial"/>
          <w:sz w:val="20"/>
        </w:rPr>
        <w:t>Depriving a student of educational aid, benefits, services, or treatment; or</w:t>
      </w:r>
    </w:p>
    <w:p w:rsidR="000633C1" w:rsidRPr="005D5654" w:rsidRDefault="00B028A2">
      <w:pPr>
        <w:pStyle w:val="NormalWeb"/>
        <w:numPr>
          <w:ilvl w:val="0"/>
          <w:numId w:val="2"/>
        </w:numPr>
        <w:ind w:left="600"/>
        <w:rPr>
          <w:rFonts w:ascii="Arial" w:hAnsi="Arial" w:cs="Arial"/>
          <w:sz w:val="20"/>
        </w:rPr>
      </w:pPr>
      <w:r w:rsidRPr="005D5654">
        <w:rPr>
          <w:rFonts w:ascii="Arial" w:hAnsi="Arial" w:cs="Arial"/>
          <w:sz w:val="20"/>
        </w:rPr>
        <w:t>Making submission to or rejection of such conduct the basis for academic decisions affecting a student.</w:t>
      </w:r>
    </w:p>
    <w:p w:rsidR="000633C1" w:rsidRPr="005D5654" w:rsidRDefault="00B028A2">
      <w:pPr>
        <w:pStyle w:val="NormalWeb"/>
        <w:rPr>
          <w:rFonts w:ascii="Arial" w:hAnsi="Arial" w:cs="Arial"/>
          <w:sz w:val="20"/>
        </w:rPr>
      </w:pPr>
      <w:r w:rsidRPr="005D5654">
        <w:rPr>
          <w:rFonts w:ascii="Arial" w:hAnsi="Arial" w:cs="Arial"/>
          <w:sz w:val="20"/>
        </w:rPr>
        <w:t xml:space="preserve">The terms </w:t>
      </w:r>
      <w:r w:rsidRPr="005D5654">
        <w:rPr>
          <w:rFonts w:ascii="Arial" w:hAnsi="Arial" w:cs="Arial"/>
          <w:i/>
          <w:sz w:val="20"/>
        </w:rPr>
        <w:t>intimidating</w:t>
      </w:r>
      <w:r w:rsidRPr="005D5654">
        <w:rPr>
          <w:rFonts w:ascii="Arial" w:hAnsi="Arial" w:cs="Arial"/>
          <w:sz w:val="20"/>
        </w:rPr>
        <w:t xml:space="preserve">, </w:t>
      </w:r>
      <w:r w:rsidRPr="005D5654">
        <w:rPr>
          <w:rFonts w:ascii="Arial" w:hAnsi="Arial" w:cs="Arial"/>
          <w:i/>
          <w:sz w:val="20"/>
        </w:rPr>
        <w:t>hostile</w:t>
      </w:r>
      <w:r w:rsidRPr="005D5654">
        <w:rPr>
          <w:rFonts w:ascii="Arial" w:hAnsi="Arial" w:cs="Arial"/>
          <w:sz w:val="20"/>
        </w:rPr>
        <w:t xml:space="preserve">, and </w:t>
      </w:r>
      <w:r w:rsidRPr="005D5654">
        <w:rPr>
          <w:rFonts w:ascii="Arial" w:hAnsi="Arial" w:cs="Arial"/>
          <w:i/>
          <w:sz w:val="20"/>
        </w:rPr>
        <w:t>offensive</w:t>
      </w:r>
      <w:r w:rsidRPr="005D5654">
        <w:rPr>
          <w:rFonts w:ascii="Arial" w:hAnsi="Arial" w:cs="Arial"/>
          <w:sz w:val="20"/>
        </w:rPr>
        <w:t xml:space="preserve"> include conduct that has the effect of humiliation, embarrassment, or discomfort. Examples of sexual harassment include touching, crude jokes or pictures, discussions of sexual experiences, teasing related to sexual characteristics, and spreading rumors related to a person’s alleged sexual activities. The term </w:t>
      </w:r>
      <w:r w:rsidRPr="005D5654">
        <w:rPr>
          <w:rFonts w:ascii="Arial" w:hAnsi="Arial" w:cs="Arial"/>
          <w:i/>
          <w:sz w:val="20"/>
        </w:rPr>
        <w:t>sexual</w:t>
      </w:r>
      <w:r w:rsidRPr="005D5654">
        <w:rPr>
          <w:rFonts w:ascii="Arial" w:hAnsi="Arial" w:cs="Arial"/>
          <w:sz w:val="20"/>
        </w:rPr>
        <w:t xml:space="preserve"> </w:t>
      </w:r>
      <w:r w:rsidRPr="005D5654">
        <w:rPr>
          <w:rFonts w:ascii="Arial" w:hAnsi="Arial" w:cs="Arial"/>
          <w:i/>
          <w:sz w:val="20"/>
        </w:rPr>
        <w:t>violence</w:t>
      </w:r>
      <w:r w:rsidRPr="005D5654">
        <w:rPr>
          <w:rFonts w:ascii="Arial" w:hAnsi="Arial" w:cs="Arial"/>
          <w:sz w:val="20"/>
        </w:rPr>
        <w:t xml:space="preserve"> includes a number of different acts. Examples of sexual violence include, but are not limited to, rape, sexual assault, sexual battery, sexual abuse, and sexual coercion.</w:t>
      </w:r>
    </w:p>
    <w:p w:rsidR="000633C1" w:rsidRPr="005D5654" w:rsidRDefault="00B028A2">
      <w:pPr>
        <w:pStyle w:val="NormalWeb"/>
        <w:rPr>
          <w:rFonts w:ascii="Arial" w:hAnsi="Arial" w:cs="Arial"/>
          <w:sz w:val="20"/>
        </w:rPr>
      </w:pPr>
      <w:r w:rsidRPr="005D5654">
        <w:rPr>
          <w:rFonts w:ascii="Arial" w:hAnsi="Arial" w:cs="Arial"/>
          <w:sz w:val="20"/>
          <w:u w:val="single"/>
        </w:rPr>
        <w:t>Making a Complaint; Enforcement</w:t>
      </w:r>
    </w:p>
    <w:p w:rsidR="000633C1" w:rsidRPr="005D5654" w:rsidRDefault="00B028A2">
      <w:pPr>
        <w:pStyle w:val="NormalWeb"/>
        <w:rPr>
          <w:rFonts w:ascii="Arial" w:hAnsi="Arial" w:cs="Arial"/>
          <w:sz w:val="20"/>
        </w:rPr>
      </w:pPr>
      <w:r w:rsidRPr="005D5654">
        <w:rPr>
          <w:rFonts w:ascii="Arial" w:hAnsi="Arial" w:cs="Arial"/>
          <w:sz w:val="20"/>
        </w:rPr>
        <w:t>Students are encouraged to report claims or incidences of bullying, harassment, sexual harassment, or any other prohibited conduct to the Nondiscrimination Coordinator, Program Coordinator, a Complaint Manager, or any staff member with whom the student is comfortable speaking. A student may choose to report to a person of the student’s same sex. Complaints will be kept confidential to the extent possible given the need to investigate. Students who make good faith complaints will not be disciplined.</w:t>
      </w:r>
    </w:p>
    <w:p w:rsidR="000633C1" w:rsidRPr="005D5654" w:rsidRDefault="00B028A2">
      <w:pPr>
        <w:pStyle w:val="NormalWeb"/>
        <w:rPr>
          <w:rFonts w:ascii="Arial" w:hAnsi="Arial" w:cs="Arial"/>
          <w:sz w:val="20"/>
        </w:rPr>
      </w:pPr>
      <w:r w:rsidRPr="005D5654">
        <w:rPr>
          <w:rFonts w:ascii="Arial" w:hAnsi="Arial" w:cs="Arial"/>
          <w:sz w:val="20"/>
        </w:rPr>
        <w:t>An allegation that a student was a victim of any prohibited conduct perpetrated by another student shall be referred to the Program Coordinator for appropriate action.</w:t>
      </w:r>
    </w:p>
    <w:p w:rsidR="000633C1" w:rsidRDefault="00B028A2">
      <w:pPr>
        <w:pStyle w:val="NormalWeb"/>
        <w:rPr>
          <w:rFonts w:ascii="Arial" w:hAnsi="Arial" w:cs="Arial"/>
          <w:sz w:val="20"/>
        </w:rPr>
      </w:pPr>
      <w:r w:rsidRPr="005D5654">
        <w:rPr>
          <w:rFonts w:ascii="Arial" w:hAnsi="Arial" w:cs="Arial"/>
          <w:sz w:val="20"/>
        </w:rPr>
        <w:t>The Director shall insert into this policy the names, addresses, and telephone numbers of the Cooperative’s current Nondiscrimination Coordinator and Complaint Managers. At least one of these individuals will be female, and at least one will be male.</w:t>
      </w:r>
    </w:p>
    <w:p w:rsidR="005D5654" w:rsidRDefault="005D5654">
      <w:pPr>
        <w:pStyle w:val="NormalWeb"/>
        <w:rPr>
          <w:rFonts w:ascii="Arial" w:hAnsi="Arial" w:cs="Arial"/>
          <w:sz w:val="20"/>
        </w:rPr>
      </w:pPr>
    </w:p>
    <w:p w:rsidR="005D5654" w:rsidRPr="005D5654" w:rsidRDefault="005D5654">
      <w:pPr>
        <w:pStyle w:val="NormalWeb"/>
        <w:rPr>
          <w:rFonts w:ascii="Arial" w:hAnsi="Arial" w:cs="Arial"/>
          <w:sz w:val="20"/>
        </w:rPr>
      </w:pPr>
    </w:p>
    <w:p w:rsidR="000633C1" w:rsidRPr="005D5654" w:rsidRDefault="00B028A2" w:rsidP="005D5654">
      <w:pPr>
        <w:pStyle w:val="NormalWeb"/>
        <w:spacing w:before="0" w:beforeAutospacing="0" w:after="0" w:afterAutospacing="0"/>
        <w:rPr>
          <w:rFonts w:ascii="Arial" w:hAnsi="Arial" w:cs="Arial"/>
          <w:sz w:val="20"/>
        </w:rPr>
      </w:pPr>
      <w:r w:rsidRPr="005D5654">
        <w:rPr>
          <w:rFonts w:ascii="Arial" w:hAnsi="Arial" w:cs="Arial"/>
          <w:b/>
          <w:sz w:val="20"/>
        </w:rPr>
        <w:lastRenderedPageBreak/>
        <w:t>Nondiscrimination Coordinator:</w:t>
      </w:r>
    </w:p>
    <w:tbl>
      <w:tblPr>
        <w:tblW w:w="0" w:type="auto"/>
        <w:tblCellSpacing w:w="0" w:type="dxa"/>
        <w:tblBorders>
          <w:top w:val="single" w:sz="0" w:space="0" w:color="000000"/>
          <w:left w:val="single" w:sz="0" w:space="0" w:color="000000"/>
          <w:bottom w:val="single" w:sz="0" w:space="0" w:color="000000"/>
          <w:right w:val="single" w:sz="0" w:space="0" w:color="000000"/>
        </w:tblBorders>
        <w:tblLook w:val="04A0" w:firstRow="1" w:lastRow="0" w:firstColumn="1" w:lastColumn="0" w:noHBand="0" w:noVBand="1"/>
      </w:tblPr>
      <w:tblGrid>
        <w:gridCol w:w="4320"/>
        <w:gridCol w:w="240"/>
      </w:tblGrid>
      <w:tr w:rsidR="000633C1" w:rsidRPr="005D5654">
        <w:trPr>
          <w:tblCellSpacing w:w="0" w:type="dxa"/>
        </w:trPr>
        <w:tc>
          <w:tcPr>
            <w:tcW w:w="4320" w:type="dxa"/>
          </w:tcPr>
          <w:p w:rsidR="000633C1" w:rsidRPr="005D5654" w:rsidRDefault="00B028A2" w:rsidP="00B028A2">
            <w:pPr>
              <w:pStyle w:val="NormalWeb"/>
              <w:spacing w:before="0" w:beforeAutospacing="0" w:after="0" w:afterAutospacing="0"/>
              <w:rPr>
                <w:rFonts w:ascii="Arial" w:hAnsi="Arial" w:cs="Arial"/>
                <w:sz w:val="20"/>
              </w:rPr>
            </w:pPr>
            <w:r w:rsidRPr="005D5654">
              <w:rPr>
                <w:rFonts w:ascii="Arial" w:hAnsi="Arial" w:cs="Arial"/>
                <w:sz w:val="20"/>
              </w:rPr>
              <w:t>Name:</w:t>
            </w:r>
          </w:p>
          <w:p w:rsidR="000633C1" w:rsidRPr="005D5654" w:rsidRDefault="00B028A2" w:rsidP="00B028A2">
            <w:pPr>
              <w:pStyle w:val="NormalWeb"/>
              <w:spacing w:before="0" w:beforeAutospacing="0" w:after="0" w:afterAutospacing="0"/>
              <w:rPr>
                <w:rFonts w:ascii="Arial" w:hAnsi="Arial" w:cs="Arial"/>
                <w:sz w:val="20"/>
              </w:rPr>
            </w:pPr>
            <w:r w:rsidRPr="005D5654">
              <w:rPr>
                <w:rFonts w:ascii="Arial" w:hAnsi="Arial" w:cs="Arial"/>
                <w:sz w:val="20"/>
              </w:rPr>
              <w:t xml:space="preserve">Kristina </w:t>
            </w:r>
            <w:proofErr w:type="spellStart"/>
            <w:r w:rsidRPr="005D5654">
              <w:rPr>
                <w:rFonts w:ascii="Arial" w:hAnsi="Arial" w:cs="Arial"/>
                <w:sz w:val="20"/>
              </w:rPr>
              <w:t>Lazarz</w:t>
            </w:r>
            <w:proofErr w:type="spellEnd"/>
          </w:p>
        </w:tc>
        <w:tc>
          <w:tcPr>
            <w:tcW w:w="240" w:type="dxa"/>
          </w:tcPr>
          <w:p w:rsidR="000633C1" w:rsidRPr="005D5654" w:rsidRDefault="000633C1" w:rsidP="00B028A2">
            <w:pPr>
              <w:rPr>
                <w:sz w:val="20"/>
              </w:rPr>
            </w:pPr>
          </w:p>
        </w:tc>
      </w:tr>
      <w:tr w:rsidR="000633C1" w:rsidRPr="005D5654">
        <w:trPr>
          <w:tblCellSpacing w:w="0" w:type="dxa"/>
        </w:trPr>
        <w:tc>
          <w:tcPr>
            <w:tcW w:w="4320" w:type="dxa"/>
          </w:tcPr>
          <w:p w:rsidR="000633C1" w:rsidRPr="005D5654" w:rsidRDefault="00B028A2" w:rsidP="00B028A2">
            <w:pPr>
              <w:pStyle w:val="NormalWeb"/>
              <w:spacing w:before="0" w:beforeAutospacing="0" w:after="0" w:afterAutospacing="0"/>
              <w:rPr>
                <w:rFonts w:ascii="Arial" w:hAnsi="Arial" w:cs="Arial"/>
                <w:sz w:val="20"/>
              </w:rPr>
            </w:pPr>
            <w:r w:rsidRPr="005D5654">
              <w:rPr>
                <w:rFonts w:ascii="Arial" w:hAnsi="Arial" w:cs="Arial"/>
                <w:sz w:val="20"/>
              </w:rPr>
              <w:t>Address:</w:t>
            </w:r>
          </w:p>
          <w:p w:rsidR="000633C1" w:rsidRPr="005D5654" w:rsidRDefault="00B028A2" w:rsidP="00B028A2">
            <w:pPr>
              <w:pStyle w:val="NormalWeb"/>
              <w:spacing w:before="0" w:beforeAutospacing="0" w:after="0" w:afterAutospacing="0"/>
              <w:rPr>
                <w:rFonts w:ascii="Arial" w:hAnsi="Arial" w:cs="Arial"/>
                <w:sz w:val="20"/>
              </w:rPr>
            </w:pPr>
            <w:r w:rsidRPr="005D5654">
              <w:rPr>
                <w:rFonts w:ascii="Arial" w:hAnsi="Arial" w:cs="Arial"/>
                <w:sz w:val="20"/>
              </w:rPr>
              <w:t>300 Cedar St., Pekin, IL  61554</w:t>
            </w:r>
          </w:p>
        </w:tc>
        <w:tc>
          <w:tcPr>
            <w:tcW w:w="240" w:type="dxa"/>
          </w:tcPr>
          <w:p w:rsidR="000633C1" w:rsidRPr="005D5654" w:rsidRDefault="000633C1" w:rsidP="00B028A2">
            <w:pPr>
              <w:rPr>
                <w:sz w:val="20"/>
              </w:rPr>
            </w:pPr>
          </w:p>
        </w:tc>
      </w:tr>
      <w:tr w:rsidR="000633C1" w:rsidRPr="005D5654">
        <w:trPr>
          <w:tblCellSpacing w:w="0" w:type="dxa"/>
        </w:trPr>
        <w:tc>
          <w:tcPr>
            <w:tcW w:w="4320" w:type="dxa"/>
          </w:tcPr>
          <w:p w:rsidR="000633C1" w:rsidRPr="005D5654" w:rsidRDefault="00B028A2" w:rsidP="00B028A2">
            <w:pPr>
              <w:pStyle w:val="NormalWeb"/>
              <w:spacing w:before="0" w:beforeAutospacing="0" w:after="0" w:afterAutospacing="0"/>
              <w:rPr>
                <w:rFonts w:ascii="Arial" w:hAnsi="Arial" w:cs="Arial"/>
                <w:sz w:val="20"/>
              </w:rPr>
            </w:pPr>
            <w:r w:rsidRPr="005D5654">
              <w:rPr>
                <w:rFonts w:ascii="Arial" w:hAnsi="Arial" w:cs="Arial"/>
                <w:sz w:val="20"/>
              </w:rPr>
              <w:t>Email:</w:t>
            </w:r>
          </w:p>
          <w:p w:rsidR="000633C1" w:rsidRPr="005D5654" w:rsidRDefault="00B028A2" w:rsidP="00B028A2">
            <w:pPr>
              <w:pStyle w:val="NormalWeb"/>
              <w:spacing w:before="0" w:beforeAutospacing="0" w:after="0" w:afterAutospacing="0"/>
              <w:rPr>
                <w:rFonts w:ascii="Arial" w:hAnsi="Arial" w:cs="Arial"/>
                <w:sz w:val="20"/>
              </w:rPr>
            </w:pPr>
            <w:r w:rsidRPr="005D5654">
              <w:rPr>
                <w:rFonts w:ascii="Arial" w:hAnsi="Arial" w:cs="Arial"/>
                <w:sz w:val="20"/>
              </w:rPr>
              <w:t>klazarz@tmcsea.org</w:t>
            </w:r>
          </w:p>
        </w:tc>
        <w:tc>
          <w:tcPr>
            <w:tcW w:w="240" w:type="dxa"/>
          </w:tcPr>
          <w:p w:rsidR="000633C1" w:rsidRPr="005D5654" w:rsidRDefault="000633C1" w:rsidP="00B028A2">
            <w:pPr>
              <w:rPr>
                <w:sz w:val="20"/>
              </w:rPr>
            </w:pPr>
          </w:p>
        </w:tc>
      </w:tr>
      <w:tr w:rsidR="000633C1" w:rsidRPr="005D5654">
        <w:trPr>
          <w:tblCellSpacing w:w="0" w:type="dxa"/>
        </w:trPr>
        <w:tc>
          <w:tcPr>
            <w:tcW w:w="4320" w:type="dxa"/>
          </w:tcPr>
          <w:p w:rsidR="000633C1" w:rsidRPr="005D5654" w:rsidRDefault="00B028A2" w:rsidP="00B028A2">
            <w:pPr>
              <w:pStyle w:val="NormalWeb"/>
              <w:spacing w:before="0" w:beforeAutospacing="0" w:after="0" w:afterAutospacing="0"/>
              <w:rPr>
                <w:rFonts w:ascii="Arial" w:hAnsi="Arial" w:cs="Arial"/>
                <w:sz w:val="20"/>
              </w:rPr>
            </w:pPr>
            <w:r w:rsidRPr="005D5654">
              <w:rPr>
                <w:rFonts w:ascii="Arial" w:hAnsi="Arial" w:cs="Arial"/>
                <w:sz w:val="20"/>
              </w:rPr>
              <w:t>Telephone:</w:t>
            </w:r>
          </w:p>
          <w:p w:rsidR="000633C1" w:rsidRPr="005D5654" w:rsidRDefault="00B028A2" w:rsidP="00B028A2">
            <w:pPr>
              <w:pStyle w:val="NormalWeb"/>
              <w:spacing w:before="0" w:beforeAutospacing="0" w:after="0" w:afterAutospacing="0"/>
              <w:rPr>
                <w:rFonts w:ascii="Arial" w:hAnsi="Arial" w:cs="Arial"/>
                <w:sz w:val="20"/>
              </w:rPr>
            </w:pPr>
            <w:r w:rsidRPr="005D5654">
              <w:rPr>
                <w:rFonts w:ascii="Arial" w:hAnsi="Arial" w:cs="Arial"/>
                <w:sz w:val="20"/>
              </w:rPr>
              <w:t>309-347-5164</w:t>
            </w:r>
          </w:p>
        </w:tc>
        <w:tc>
          <w:tcPr>
            <w:tcW w:w="240" w:type="dxa"/>
          </w:tcPr>
          <w:p w:rsidR="000633C1" w:rsidRPr="005D5654" w:rsidRDefault="000633C1" w:rsidP="00B028A2">
            <w:pPr>
              <w:rPr>
                <w:sz w:val="20"/>
              </w:rPr>
            </w:pPr>
          </w:p>
        </w:tc>
      </w:tr>
    </w:tbl>
    <w:p w:rsidR="005D5654" w:rsidRDefault="005D5654" w:rsidP="005D5654">
      <w:pPr>
        <w:pStyle w:val="NormalWeb"/>
        <w:spacing w:before="0" w:beforeAutospacing="0" w:after="0" w:afterAutospacing="0"/>
        <w:rPr>
          <w:rFonts w:ascii="Arial" w:hAnsi="Arial" w:cs="Arial"/>
          <w:b/>
          <w:sz w:val="20"/>
        </w:rPr>
      </w:pPr>
      <w:bookmarkStart w:id="0" w:name="_GoBack"/>
      <w:bookmarkEnd w:id="0"/>
    </w:p>
    <w:p w:rsidR="000633C1" w:rsidRPr="005D5654" w:rsidRDefault="00B028A2" w:rsidP="005D5654">
      <w:pPr>
        <w:pStyle w:val="NormalWeb"/>
        <w:spacing w:before="0" w:beforeAutospacing="0" w:after="0" w:afterAutospacing="0"/>
        <w:rPr>
          <w:rFonts w:ascii="Arial" w:hAnsi="Arial" w:cs="Arial"/>
          <w:sz w:val="20"/>
        </w:rPr>
      </w:pPr>
      <w:r w:rsidRPr="005D5654">
        <w:rPr>
          <w:rFonts w:ascii="Arial" w:hAnsi="Arial" w:cs="Arial"/>
          <w:b/>
          <w:sz w:val="20"/>
        </w:rPr>
        <w:t>Complaint Managers:</w:t>
      </w:r>
    </w:p>
    <w:tbl>
      <w:tblPr>
        <w:tblW w:w="0" w:type="auto"/>
        <w:tblCellSpacing w:w="0" w:type="dxa"/>
        <w:tblBorders>
          <w:top w:val="single" w:sz="0" w:space="0" w:color="000000"/>
          <w:left w:val="single" w:sz="0" w:space="0" w:color="000000"/>
          <w:bottom w:val="single" w:sz="0" w:space="0" w:color="000000"/>
          <w:right w:val="single" w:sz="0" w:space="0" w:color="000000"/>
        </w:tblBorders>
        <w:tblLook w:val="04A0" w:firstRow="1" w:lastRow="0" w:firstColumn="1" w:lastColumn="0" w:noHBand="0" w:noVBand="1"/>
      </w:tblPr>
      <w:tblGrid>
        <w:gridCol w:w="4320"/>
        <w:gridCol w:w="240"/>
        <w:gridCol w:w="4440"/>
      </w:tblGrid>
      <w:tr w:rsidR="000633C1" w:rsidRPr="005D5654">
        <w:trPr>
          <w:tblCellSpacing w:w="0" w:type="dxa"/>
        </w:trPr>
        <w:tc>
          <w:tcPr>
            <w:tcW w:w="4320" w:type="dxa"/>
          </w:tcPr>
          <w:p w:rsidR="000633C1" w:rsidRPr="005D5654" w:rsidRDefault="00B028A2" w:rsidP="00B028A2">
            <w:pPr>
              <w:pStyle w:val="NormalWeb"/>
              <w:spacing w:before="0" w:beforeAutospacing="0" w:after="0" w:afterAutospacing="0"/>
              <w:rPr>
                <w:rFonts w:ascii="Arial" w:hAnsi="Arial" w:cs="Arial"/>
                <w:sz w:val="20"/>
              </w:rPr>
            </w:pPr>
            <w:r w:rsidRPr="005D5654">
              <w:rPr>
                <w:rFonts w:ascii="Arial" w:hAnsi="Arial" w:cs="Arial"/>
                <w:sz w:val="20"/>
              </w:rPr>
              <w:t>Name:</w:t>
            </w:r>
          </w:p>
          <w:p w:rsidR="000633C1" w:rsidRPr="005D5654" w:rsidRDefault="00B028A2" w:rsidP="00B028A2">
            <w:pPr>
              <w:pStyle w:val="NormalWeb"/>
              <w:spacing w:before="0" w:beforeAutospacing="0" w:after="0" w:afterAutospacing="0"/>
              <w:rPr>
                <w:rFonts w:ascii="Arial" w:hAnsi="Arial" w:cs="Arial"/>
                <w:sz w:val="20"/>
              </w:rPr>
            </w:pPr>
            <w:r w:rsidRPr="005D5654">
              <w:rPr>
                <w:rFonts w:ascii="Arial" w:hAnsi="Arial" w:cs="Arial"/>
                <w:sz w:val="20"/>
              </w:rPr>
              <w:t xml:space="preserve">Kari </w:t>
            </w:r>
            <w:proofErr w:type="spellStart"/>
            <w:r w:rsidRPr="005D5654">
              <w:rPr>
                <w:rFonts w:ascii="Arial" w:hAnsi="Arial" w:cs="Arial"/>
                <w:sz w:val="20"/>
              </w:rPr>
              <w:t>Behrends</w:t>
            </w:r>
            <w:proofErr w:type="spellEnd"/>
          </w:p>
        </w:tc>
        <w:tc>
          <w:tcPr>
            <w:tcW w:w="240" w:type="dxa"/>
          </w:tcPr>
          <w:p w:rsidR="000633C1" w:rsidRPr="005D5654" w:rsidRDefault="000633C1" w:rsidP="00B028A2">
            <w:pPr>
              <w:rPr>
                <w:sz w:val="20"/>
              </w:rPr>
            </w:pPr>
          </w:p>
        </w:tc>
        <w:tc>
          <w:tcPr>
            <w:tcW w:w="4440" w:type="dxa"/>
          </w:tcPr>
          <w:p w:rsidR="000633C1" w:rsidRPr="005D5654" w:rsidRDefault="00B028A2" w:rsidP="00B028A2">
            <w:pPr>
              <w:pStyle w:val="NormalWeb"/>
              <w:spacing w:before="0" w:beforeAutospacing="0" w:after="0" w:afterAutospacing="0"/>
              <w:rPr>
                <w:rFonts w:ascii="Arial" w:hAnsi="Arial" w:cs="Arial"/>
                <w:sz w:val="20"/>
              </w:rPr>
            </w:pPr>
            <w:r w:rsidRPr="005D5654">
              <w:rPr>
                <w:rFonts w:ascii="Arial" w:hAnsi="Arial" w:cs="Arial"/>
                <w:sz w:val="20"/>
              </w:rPr>
              <w:t>Name:</w:t>
            </w:r>
          </w:p>
          <w:p w:rsidR="000633C1" w:rsidRPr="005D5654" w:rsidRDefault="00B028A2" w:rsidP="00B028A2">
            <w:pPr>
              <w:pStyle w:val="NormalWeb"/>
              <w:spacing w:before="0" w:beforeAutospacing="0" w:after="0" w:afterAutospacing="0"/>
              <w:rPr>
                <w:rFonts w:ascii="Arial" w:hAnsi="Arial" w:cs="Arial"/>
                <w:sz w:val="20"/>
              </w:rPr>
            </w:pPr>
            <w:r w:rsidRPr="005D5654">
              <w:rPr>
                <w:rFonts w:ascii="Arial" w:hAnsi="Arial" w:cs="Arial"/>
                <w:sz w:val="20"/>
              </w:rPr>
              <w:t>Amber Ealey</w:t>
            </w:r>
          </w:p>
        </w:tc>
      </w:tr>
      <w:tr w:rsidR="000633C1" w:rsidRPr="005D5654">
        <w:trPr>
          <w:tblCellSpacing w:w="0" w:type="dxa"/>
        </w:trPr>
        <w:tc>
          <w:tcPr>
            <w:tcW w:w="4320" w:type="dxa"/>
          </w:tcPr>
          <w:p w:rsidR="000633C1" w:rsidRPr="005D5654" w:rsidRDefault="00B028A2" w:rsidP="00B028A2">
            <w:pPr>
              <w:pStyle w:val="NormalWeb"/>
              <w:spacing w:before="0" w:beforeAutospacing="0" w:after="0" w:afterAutospacing="0"/>
              <w:rPr>
                <w:rFonts w:ascii="Arial" w:hAnsi="Arial" w:cs="Arial"/>
                <w:sz w:val="20"/>
              </w:rPr>
            </w:pPr>
            <w:r w:rsidRPr="005D5654">
              <w:rPr>
                <w:rFonts w:ascii="Arial" w:hAnsi="Arial" w:cs="Arial"/>
                <w:sz w:val="20"/>
              </w:rPr>
              <w:t>Address:</w:t>
            </w:r>
          </w:p>
          <w:p w:rsidR="000633C1" w:rsidRPr="005D5654" w:rsidRDefault="00B028A2" w:rsidP="00B028A2">
            <w:pPr>
              <w:pStyle w:val="NormalWeb"/>
              <w:spacing w:before="0" w:beforeAutospacing="0" w:after="0" w:afterAutospacing="0"/>
              <w:rPr>
                <w:rFonts w:ascii="Arial" w:hAnsi="Arial" w:cs="Arial"/>
                <w:sz w:val="20"/>
              </w:rPr>
            </w:pPr>
            <w:r w:rsidRPr="005D5654">
              <w:rPr>
                <w:rFonts w:ascii="Arial" w:hAnsi="Arial" w:cs="Arial"/>
                <w:sz w:val="20"/>
              </w:rPr>
              <w:t>300 Cedar St., Pekin, IL  61554</w:t>
            </w:r>
          </w:p>
        </w:tc>
        <w:tc>
          <w:tcPr>
            <w:tcW w:w="240" w:type="dxa"/>
          </w:tcPr>
          <w:p w:rsidR="000633C1" w:rsidRPr="005D5654" w:rsidRDefault="000633C1" w:rsidP="00B028A2">
            <w:pPr>
              <w:rPr>
                <w:sz w:val="20"/>
              </w:rPr>
            </w:pPr>
          </w:p>
        </w:tc>
        <w:tc>
          <w:tcPr>
            <w:tcW w:w="4440" w:type="dxa"/>
          </w:tcPr>
          <w:p w:rsidR="000633C1" w:rsidRPr="005D5654" w:rsidRDefault="00B028A2" w:rsidP="00B028A2">
            <w:pPr>
              <w:pStyle w:val="NormalWeb"/>
              <w:spacing w:before="0" w:beforeAutospacing="0" w:after="0" w:afterAutospacing="0"/>
              <w:rPr>
                <w:rFonts w:ascii="Arial" w:hAnsi="Arial" w:cs="Arial"/>
                <w:sz w:val="20"/>
              </w:rPr>
            </w:pPr>
            <w:r w:rsidRPr="005D5654">
              <w:rPr>
                <w:rFonts w:ascii="Arial" w:hAnsi="Arial" w:cs="Arial"/>
                <w:sz w:val="20"/>
              </w:rPr>
              <w:t>Address:</w:t>
            </w:r>
          </w:p>
          <w:p w:rsidR="000633C1" w:rsidRPr="005D5654" w:rsidRDefault="00B028A2" w:rsidP="00B028A2">
            <w:pPr>
              <w:pStyle w:val="NormalWeb"/>
              <w:spacing w:before="0" w:beforeAutospacing="0" w:after="0" w:afterAutospacing="0"/>
              <w:rPr>
                <w:rFonts w:ascii="Arial" w:hAnsi="Arial" w:cs="Arial"/>
                <w:sz w:val="20"/>
              </w:rPr>
            </w:pPr>
            <w:r w:rsidRPr="005D5654">
              <w:rPr>
                <w:rFonts w:ascii="Arial" w:hAnsi="Arial" w:cs="Arial"/>
                <w:sz w:val="20"/>
              </w:rPr>
              <w:t>300 Cedar St., Pekin, IL  61554</w:t>
            </w:r>
          </w:p>
        </w:tc>
      </w:tr>
      <w:tr w:rsidR="000633C1" w:rsidRPr="005D5654">
        <w:trPr>
          <w:tblCellSpacing w:w="0" w:type="dxa"/>
        </w:trPr>
        <w:tc>
          <w:tcPr>
            <w:tcW w:w="4320" w:type="dxa"/>
          </w:tcPr>
          <w:p w:rsidR="000633C1" w:rsidRPr="005D5654" w:rsidRDefault="00B028A2" w:rsidP="00B028A2">
            <w:pPr>
              <w:pStyle w:val="NormalWeb"/>
              <w:spacing w:before="0" w:beforeAutospacing="0" w:after="0" w:afterAutospacing="0"/>
              <w:rPr>
                <w:rFonts w:ascii="Arial" w:hAnsi="Arial" w:cs="Arial"/>
                <w:sz w:val="20"/>
              </w:rPr>
            </w:pPr>
            <w:r w:rsidRPr="005D5654">
              <w:rPr>
                <w:rFonts w:ascii="Arial" w:hAnsi="Arial" w:cs="Arial"/>
                <w:sz w:val="20"/>
              </w:rPr>
              <w:t>Email:</w:t>
            </w:r>
          </w:p>
          <w:p w:rsidR="000633C1" w:rsidRPr="005D5654" w:rsidRDefault="00B028A2" w:rsidP="00B028A2">
            <w:pPr>
              <w:pStyle w:val="NormalWeb"/>
              <w:spacing w:before="0" w:beforeAutospacing="0" w:after="0" w:afterAutospacing="0"/>
              <w:rPr>
                <w:rFonts w:ascii="Arial" w:hAnsi="Arial" w:cs="Arial"/>
                <w:sz w:val="20"/>
              </w:rPr>
            </w:pPr>
            <w:r w:rsidRPr="005D5654">
              <w:rPr>
                <w:rFonts w:ascii="Arial" w:hAnsi="Arial" w:cs="Arial"/>
                <w:sz w:val="20"/>
              </w:rPr>
              <w:t>kbehrends@tmcsea.org</w:t>
            </w:r>
          </w:p>
        </w:tc>
        <w:tc>
          <w:tcPr>
            <w:tcW w:w="240" w:type="dxa"/>
          </w:tcPr>
          <w:p w:rsidR="000633C1" w:rsidRPr="005D5654" w:rsidRDefault="000633C1" w:rsidP="00B028A2">
            <w:pPr>
              <w:rPr>
                <w:sz w:val="20"/>
              </w:rPr>
            </w:pPr>
          </w:p>
        </w:tc>
        <w:tc>
          <w:tcPr>
            <w:tcW w:w="4440" w:type="dxa"/>
          </w:tcPr>
          <w:p w:rsidR="000633C1" w:rsidRPr="005D5654" w:rsidRDefault="00B028A2" w:rsidP="00B028A2">
            <w:pPr>
              <w:pStyle w:val="NormalWeb"/>
              <w:spacing w:before="0" w:beforeAutospacing="0" w:after="0" w:afterAutospacing="0"/>
              <w:rPr>
                <w:rFonts w:ascii="Arial" w:hAnsi="Arial" w:cs="Arial"/>
                <w:sz w:val="20"/>
              </w:rPr>
            </w:pPr>
            <w:r w:rsidRPr="005D5654">
              <w:rPr>
                <w:rFonts w:ascii="Arial" w:hAnsi="Arial" w:cs="Arial"/>
                <w:sz w:val="20"/>
              </w:rPr>
              <w:t>Email:</w:t>
            </w:r>
          </w:p>
          <w:p w:rsidR="000633C1" w:rsidRPr="005D5654" w:rsidRDefault="00B028A2" w:rsidP="00B028A2">
            <w:pPr>
              <w:pStyle w:val="NormalWeb"/>
              <w:spacing w:before="0" w:beforeAutospacing="0" w:after="0" w:afterAutospacing="0"/>
              <w:rPr>
                <w:rFonts w:ascii="Arial" w:hAnsi="Arial" w:cs="Arial"/>
                <w:sz w:val="20"/>
              </w:rPr>
            </w:pPr>
            <w:r w:rsidRPr="005D5654">
              <w:rPr>
                <w:rFonts w:ascii="Arial" w:hAnsi="Arial" w:cs="Arial"/>
                <w:sz w:val="20"/>
              </w:rPr>
              <w:t>aealey@tmcsea.org</w:t>
            </w:r>
          </w:p>
        </w:tc>
      </w:tr>
      <w:tr w:rsidR="000633C1" w:rsidRPr="005D5654">
        <w:trPr>
          <w:tblCellSpacing w:w="0" w:type="dxa"/>
        </w:trPr>
        <w:tc>
          <w:tcPr>
            <w:tcW w:w="4320" w:type="dxa"/>
          </w:tcPr>
          <w:p w:rsidR="000633C1" w:rsidRPr="005D5654" w:rsidRDefault="00B028A2" w:rsidP="00B028A2">
            <w:pPr>
              <w:pStyle w:val="NormalWeb"/>
              <w:spacing w:before="0" w:beforeAutospacing="0" w:after="0" w:afterAutospacing="0"/>
              <w:rPr>
                <w:rFonts w:ascii="Arial" w:hAnsi="Arial" w:cs="Arial"/>
                <w:sz w:val="20"/>
              </w:rPr>
            </w:pPr>
            <w:r w:rsidRPr="005D5654">
              <w:rPr>
                <w:rFonts w:ascii="Arial" w:hAnsi="Arial" w:cs="Arial"/>
                <w:sz w:val="20"/>
              </w:rPr>
              <w:t>Telephone:</w:t>
            </w:r>
          </w:p>
          <w:p w:rsidR="000633C1" w:rsidRPr="005D5654" w:rsidRDefault="00B028A2" w:rsidP="00B028A2">
            <w:pPr>
              <w:pStyle w:val="NormalWeb"/>
              <w:spacing w:before="0" w:beforeAutospacing="0" w:after="0" w:afterAutospacing="0"/>
              <w:rPr>
                <w:rFonts w:ascii="Arial" w:hAnsi="Arial" w:cs="Arial"/>
                <w:sz w:val="20"/>
              </w:rPr>
            </w:pPr>
            <w:r w:rsidRPr="005D5654">
              <w:rPr>
                <w:rFonts w:ascii="Arial" w:hAnsi="Arial" w:cs="Arial"/>
                <w:sz w:val="20"/>
              </w:rPr>
              <w:t>309-347-5164</w:t>
            </w:r>
          </w:p>
        </w:tc>
        <w:tc>
          <w:tcPr>
            <w:tcW w:w="240" w:type="dxa"/>
          </w:tcPr>
          <w:p w:rsidR="000633C1" w:rsidRPr="005D5654" w:rsidRDefault="000633C1" w:rsidP="00B028A2">
            <w:pPr>
              <w:rPr>
                <w:sz w:val="20"/>
              </w:rPr>
            </w:pPr>
          </w:p>
        </w:tc>
        <w:tc>
          <w:tcPr>
            <w:tcW w:w="4440" w:type="dxa"/>
          </w:tcPr>
          <w:p w:rsidR="000633C1" w:rsidRPr="005D5654" w:rsidRDefault="00B028A2" w:rsidP="00B028A2">
            <w:pPr>
              <w:pStyle w:val="NormalWeb"/>
              <w:spacing w:before="0" w:beforeAutospacing="0" w:after="0" w:afterAutospacing="0"/>
              <w:rPr>
                <w:rFonts w:ascii="Arial" w:hAnsi="Arial" w:cs="Arial"/>
                <w:sz w:val="20"/>
              </w:rPr>
            </w:pPr>
            <w:r w:rsidRPr="005D5654">
              <w:rPr>
                <w:rFonts w:ascii="Arial" w:hAnsi="Arial" w:cs="Arial"/>
                <w:sz w:val="20"/>
              </w:rPr>
              <w:t>Telephone:</w:t>
            </w:r>
          </w:p>
          <w:p w:rsidR="000633C1" w:rsidRPr="005D5654" w:rsidRDefault="00B028A2" w:rsidP="00B028A2">
            <w:pPr>
              <w:pStyle w:val="NormalWeb"/>
              <w:spacing w:before="0" w:beforeAutospacing="0" w:after="0" w:afterAutospacing="0"/>
              <w:rPr>
                <w:rFonts w:ascii="Arial" w:hAnsi="Arial" w:cs="Arial"/>
                <w:sz w:val="20"/>
              </w:rPr>
            </w:pPr>
            <w:r w:rsidRPr="005D5654">
              <w:rPr>
                <w:rFonts w:ascii="Arial" w:hAnsi="Arial" w:cs="Arial"/>
                <w:sz w:val="20"/>
              </w:rPr>
              <w:t>309-347-5164</w:t>
            </w:r>
          </w:p>
        </w:tc>
      </w:tr>
    </w:tbl>
    <w:p w:rsidR="000633C1" w:rsidRPr="005D5654" w:rsidRDefault="00B028A2">
      <w:pPr>
        <w:pStyle w:val="NormalWeb"/>
        <w:rPr>
          <w:rFonts w:ascii="Arial" w:hAnsi="Arial" w:cs="Arial"/>
          <w:sz w:val="20"/>
        </w:rPr>
      </w:pPr>
      <w:r w:rsidRPr="005D5654">
        <w:rPr>
          <w:rFonts w:ascii="Arial" w:hAnsi="Arial" w:cs="Arial"/>
          <w:sz w:val="20"/>
        </w:rPr>
        <w:t>The Director shall use reasonable measures to inform staff members and students of this policy, such as, by including it in the appropriate handbooks.</w:t>
      </w:r>
    </w:p>
    <w:p w:rsidR="000633C1" w:rsidRPr="005D5654" w:rsidRDefault="00B028A2">
      <w:pPr>
        <w:pStyle w:val="NormalWeb"/>
        <w:rPr>
          <w:rFonts w:ascii="Arial" w:hAnsi="Arial" w:cs="Arial"/>
          <w:sz w:val="20"/>
        </w:rPr>
      </w:pPr>
      <w:r w:rsidRPr="005D5654">
        <w:rPr>
          <w:rFonts w:ascii="Arial" w:hAnsi="Arial" w:cs="Arial"/>
          <w:sz w:val="20"/>
        </w:rPr>
        <w:t>Any Cooperative employee who is determined, after an investigation, to have engaged in conduct prohibited by this policy will be subject to disciplinary action up to and including discharge. Any Cooperative student who is determined, after an investigation, to have engaged in conduct prohibited by this policy will be subject to disciplinary action, including but not limited to, suspension and expulsion consistent with the behavior policy. Any person making a knowingly false accusation regarding prohibited conduct will likewise be subject to disciplinary action up to and including discharge, with regard to employees, or suspension and expulsion, with regard to students.</w:t>
      </w:r>
    </w:p>
    <w:p w:rsidR="000633C1" w:rsidRPr="005D5654" w:rsidRDefault="00B028A2">
      <w:pPr>
        <w:pStyle w:val="NormalWeb"/>
        <w:rPr>
          <w:rFonts w:ascii="Arial" w:hAnsi="Arial" w:cs="Arial"/>
          <w:sz w:val="20"/>
        </w:rPr>
      </w:pPr>
      <w:r w:rsidRPr="005D5654">
        <w:rPr>
          <w:rFonts w:ascii="Arial" w:hAnsi="Arial" w:cs="Arial"/>
          <w:sz w:val="20"/>
        </w:rPr>
        <w:t>LEGAL REF.:        </w:t>
      </w:r>
    </w:p>
    <w:p w:rsidR="000633C1" w:rsidRPr="005D5654" w:rsidRDefault="00B028A2">
      <w:pPr>
        <w:pStyle w:val="NormalWeb"/>
        <w:rPr>
          <w:rFonts w:ascii="Arial" w:hAnsi="Arial" w:cs="Arial"/>
          <w:sz w:val="20"/>
        </w:rPr>
      </w:pPr>
      <w:proofErr w:type="gramStart"/>
      <w:r w:rsidRPr="005D5654">
        <w:rPr>
          <w:rFonts w:ascii="Arial" w:hAnsi="Arial" w:cs="Arial"/>
          <w:sz w:val="20"/>
        </w:rPr>
        <w:t xml:space="preserve">20 U.S.C. §1681 </w:t>
      </w:r>
      <w:r w:rsidRPr="005D5654">
        <w:rPr>
          <w:rFonts w:ascii="Arial" w:hAnsi="Arial" w:cs="Arial"/>
          <w:sz w:val="20"/>
          <w:u w:val="single"/>
        </w:rPr>
        <w:t>et</w:t>
      </w:r>
      <w:r w:rsidRPr="005D5654">
        <w:rPr>
          <w:rFonts w:ascii="Arial" w:hAnsi="Arial" w:cs="Arial"/>
          <w:sz w:val="20"/>
        </w:rPr>
        <w:t xml:space="preserve"> </w:t>
      </w:r>
      <w:r w:rsidRPr="005D5654">
        <w:rPr>
          <w:rFonts w:ascii="Arial" w:hAnsi="Arial" w:cs="Arial"/>
          <w:sz w:val="20"/>
          <w:u w:val="single"/>
        </w:rPr>
        <w:t>seq</w:t>
      </w:r>
      <w:r w:rsidRPr="005D5654">
        <w:rPr>
          <w:rFonts w:ascii="Arial" w:hAnsi="Arial" w:cs="Arial"/>
          <w:sz w:val="20"/>
        </w:rPr>
        <w:t>., Title IX of the Educational Amendments of 1972.</w:t>
      </w:r>
      <w:proofErr w:type="gramEnd"/>
    </w:p>
    <w:p w:rsidR="000633C1" w:rsidRPr="005D5654" w:rsidRDefault="00B028A2">
      <w:pPr>
        <w:pStyle w:val="NormalWeb"/>
        <w:rPr>
          <w:rFonts w:ascii="Arial" w:hAnsi="Arial" w:cs="Arial"/>
          <w:sz w:val="20"/>
        </w:rPr>
      </w:pPr>
      <w:r w:rsidRPr="005D5654">
        <w:rPr>
          <w:rFonts w:ascii="Arial" w:hAnsi="Arial" w:cs="Arial"/>
          <w:sz w:val="20"/>
        </w:rPr>
        <w:t xml:space="preserve">34 C.F.R. </w:t>
      </w:r>
      <w:proofErr w:type="gramStart"/>
      <w:r w:rsidRPr="005D5654">
        <w:rPr>
          <w:rFonts w:ascii="Arial" w:hAnsi="Arial" w:cs="Arial"/>
          <w:sz w:val="20"/>
        </w:rPr>
        <w:t>Part</w:t>
      </w:r>
      <w:proofErr w:type="gramEnd"/>
      <w:r w:rsidRPr="005D5654">
        <w:rPr>
          <w:rFonts w:ascii="Arial" w:hAnsi="Arial" w:cs="Arial"/>
          <w:sz w:val="20"/>
        </w:rPr>
        <w:t xml:space="preserve"> 106.</w:t>
      </w:r>
    </w:p>
    <w:p w:rsidR="000633C1" w:rsidRPr="005D5654" w:rsidRDefault="00B028A2">
      <w:pPr>
        <w:pStyle w:val="NormalWeb"/>
        <w:rPr>
          <w:rFonts w:ascii="Arial" w:hAnsi="Arial" w:cs="Arial"/>
          <w:sz w:val="20"/>
        </w:rPr>
      </w:pPr>
      <w:proofErr w:type="gramStart"/>
      <w:r w:rsidRPr="005D5654">
        <w:rPr>
          <w:rFonts w:ascii="Arial" w:hAnsi="Arial" w:cs="Arial"/>
          <w:sz w:val="20"/>
        </w:rPr>
        <w:t>105 ILCS 5/10-20.12, 10-22.5, 5/27-1, and 5/27-23.7.</w:t>
      </w:r>
      <w:proofErr w:type="gramEnd"/>
    </w:p>
    <w:p w:rsidR="000633C1" w:rsidRPr="005D5654" w:rsidRDefault="00B028A2">
      <w:pPr>
        <w:pStyle w:val="NormalWeb"/>
        <w:rPr>
          <w:rFonts w:ascii="Arial" w:hAnsi="Arial" w:cs="Arial"/>
          <w:sz w:val="20"/>
        </w:rPr>
      </w:pPr>
      <w:r w:rsidRPr="005D5654">
        <w:rPr>
          <w:rFonts w:ascii="Arial" w:hAnsi="Arial" w:cs="Arial"/>
          <w:sz w:val="20"/>
        </w:rPr>
        <w:t xml:space="preserve">775 ILCS 5/1-101 </w:t>
      </w:r>
      <w:r w:rsidRPr="005D5654">
        <w:rPr>
          <w:rFonts w:ascii="Arial" w:hAnsi="Arial" w:cs="Arial"/>
          <w:sz w:val="20"/>
          <w:u w:val="single"/>
        </w:rPr>
        <w:t>et</w:t>
      </w:r>
      <w:r w:rsidRPr="005D5654">
        <w:rPr>
          <w:rFonts w:ascii="Arial" w:hAnsi="Arial" w:cs="Arial"/>
          <w:sz w:val="20"/>
        </w:rPr>
        <w:t xml:space="preserve"> </w:t>
      </w:r>
      <w:r w:rsidRPr="005D5654">
        <w:rPr>
          <w:rFonts w:ascii="Arial" w:hAnsi="Arial" w:cs="Arial"/>
          <w:sz w:val="20"/>
          <w:u w:val="single"/>
        </w:rPr>
        <w:t>seq</w:t>
      </w:r>
      <w:r w:rsidRPr="005D5654">
        <w:rPr>
          <w:rFonts w:ascii="Arial" w:hAnsi="Arial" w:cs="Arial"/>
          <w:sz w:val="20"/>
        </w:rPr>
        <w:t>., Illinois Human Rights Act.</w:t>
      </w:r>
    </w:p>
    <w:p w:rsidR="000633C1" w:rsidRPr="005D5654" w:rsidRDefault="00B028A2">
      <w:pPr>
        <w:pStyle w:val="NormalWeb"/>
        <w:rPr>
          <w:rFonts w:ascii="Arial" w:hAnsi="Arial" w:cs="Arial"/>
          <w:sz w:val="20"/>
        </w:rPr>
      </w:pPr>
      <w:proofErr w:type="gramStart"/>
      <w:r w:rsidRPr="005D5654">
        <w:rPr>
          <w:rFonts w:ascii="Arial" w:hAnsi="Arial" w:cs="Arial"/>
          <w:sz w:val="20"/>
        </w:rPr>
        <w:t xml:space="preserve">23 </w:t>
      </w:r>
      <w:proofErr w:type="spellStart"/>
      <w:r w:rsidRPr="005D5654">
        <w:rPr>
          <w:rFonts w:ascii="Arial" w:hAnsi="Arial" w:cs="Arial"/>
          <w:sz w:val="20"/>
        </w:rPr>
        <w:t>Ill.Admin.Code</w:t>
      </w:r>
      <w:proofErr w:type="spellEnd"/>
      <w:r w:rsidRPr="005D5654">
        <w:rPr>
          <w:rFonts w:ascii="Arial" w:hAnsi="Arial" w:cs="Arial"/>
          <w:sz w:val="20"/>
        </w:rPr>
        <w:t xml:space="preserve"> §1.240 and Part 200.</w:t>
      </w:r>
      <w:proofErr w:type="gramEnd"/>
    </w:p>
    <w:p w:rsidR="000633C1" w:rsidRPr="005D5654" w:rsidRDefault="00B028A2">
      <w:pPr>
        <w:pStyle w:val="NormalWeb"/>
        <w:rPr>
          <w:rFonts w:ascii="Arial" w:hAnsi="Arial" w:cs="Arial"/>
          <w:sz w:val="20"/>
        </w:rPr>
      </w:pPr>
      <w:proofErr w:type="gramStart"/>
      <w:r w:rsidRPr="005D5654">
        <w:rPr>
          <w:rFonts w:ascii="Arial" w:hAnsi="Arial" w:cs="Arial"/>
          <w:sz w:val="20"/>
          <w:u w:val="single"/>
        </w:rPr>
        <w:t>Davis v. Monroe County Bd. of Educ.</w:t>
      </w:r>
      <w:r w:rsidRPr="005D5654">
        <w:rPr>
          <w:rFonts w:ascii="Arial" w:hAnsi="Arial" w:cs="Arial"/>
          <w:sz w:val="20"/>
        </w:rPr>
        <w:t>, 526 U.S. 629 (1999).</w:t>
      </w:r>
      <w:proofErr w:type="gramEnd"/>
    </w:p>
    <w:p w:rsidR="000633C1" w:rsidRPr="005D5654" w:rsidRDefault="00B028A2">
      <w:pPr>
        <w:pStyle w:val="NormalWeb"/>
        <w:rPr>
          <w:rFonts w:ascii="Arial" w:hAnsi="Arial" w:cs="Arial"/>
          <w:sz w:val="20"/>
        </w:rPr>
      </w:pPr>
      <w:r w:rsidRPr="005D5654">
        <w:rPr>
          <w:rFonts w:ascii="Arial" w:hAnsi="Arial" w:cs="Arial"/>
          <w:sz w:val="20"/>
          <w:u w:val="single"/>
        </w:rPr>
        <w:t xml:space="preserve">Franklin v. Gwinnett Co. Public </w:t>
      </w:r>
      <w:proofErr w:type="spellStart"/>
      <w:proofErr w:type="gramStart"/>
      <w:r w:rsidRPr="005D5654">
        <w:rPr>
          <w:rFonts w:ascii="Arial" w:hAnsi="Arial" w:cs="Arial"/>
          <w:sz w:val="20"/>
          <w:u w:val="single"/>
        </w:rPr>
        <w:t>Schs</w:t>
      </w:r>
      <w:proofErr w:type="spellEnd"/>
      <w:r w:rsidRPr="005D5654">
        <w:rPr>
          <w:rFonts w:ascii="Arial" w:hAnsi="Arial" w:cs="Arial"/>
          <w:sz w:val="20"/>
          <w:u w:val="single"/>
        </w:rPr>
        <w:t>.</w:t>
      </w:r>
      <w:r w:rsidRPr="005D5654">
        <w:rPr>
          <w:rFonts w:ascii="Arial" w:hAnsi="Arial" w:cs="Arial"/>
          <w:sz w:val="20"/>
        </w:rPr>
        <w:t>,</w:t>
      </w:r>
      <w:proofErr w:type="gramEnd"/>
      <w:r w:rsidRPr="005D5654">
        <w:rPr>
          <w:rFonts w:ascii="Arial" w:hAnsi="Arial" w:cs="Arial"/>
          <w:sz w:val="20"/>
        </w:rPr>
        <w:t xml:space="preserve"> 503 U.S. 60 (1992).</w:t>
      </w:r>
    </w:p>
    <w:p w:rsidR="000633C1" w:rsidRPr="005D5654" w:rsidRDefault="00B028A2">
      <w:pPr>
        <w:pStyle w:val="NormalWeb"/>
        <w:rPr>
          <w:rFonts w:ascii="Arial" w:hAnsi="Arial" w:cs="Arial"/>
          <w:sz w:val="20"/>
        </w:rPr>
      </w:pPr>
      <w:proofErr w:type="spellStart"/>
      <w:proofErr w:type="gramStart"/>
      <w:r w:rsidRPr="005D5654">
        <w:rPr>
          <w:rFonts w:ascii="Arial" w:hAnsi="Arial" w:cs="Arial"/>
          <w:sz w:val="20"/>
          <w:u w:val="single"/>
        </w:rPr>
        <w:t>Gebser</w:t>
      </w:r>
      <w:proofErr w:type="spellEnd"/>
      <w:r w:rsidRPr="005D5654">
        <w:rPr>
          <w:rFonts w:ascii="Arial" w:hAnsi="Arial" w:cs="Arial"/>
          <w:sz w:val="20"/>
          <w:u w:val="single"/>
        </w:rPr>
        <w:t xml:space="preserve"> v. Lago Vista Independent Sch. Dist.</w:t>
      </w:r>
      <w:r w:rsidRPr="005D5654">
        <w:rPr>
          <w:rFonts w:ascii="Arial" w:hAnsi="Arial" w:cs="Arial"/>
          <w:sz w:val="20"/>
        </w:rPr>
        <w:t>, 524 U.S. 274 (1998).</w:t>
      </w:r>
      <w:proofErr w:type="gramEnd"/>
    </w:p>
    <w:p w:rsidR="000633C1" w:rsidRPr="005D5654" w:rsidRDefault="00B028A2">
      <w:pPr>
        <w:pStyle w:val="NormalWeb"/>
        <w:rPr>
          <w:rFonts w:ascii="Arial" w:hAnsi="Arial" w:cs="Arial"/>
          <w:sz w:val="20"/>
        </w:rPr>
      </w:pPr>
      <w:r w:rsidRPr="005D5654">
        <w:rPr>
          <w:rFonts w:ascii="Arial" w:hAnsi="Arial" w:cs="Arial"/>
          <w:sz w:val="20"/>
          <w:u w:val="single"/>
        </w:rPr>
        <w:t>West v. Derby Unified Sch. Dist. No. 260</w:t>
      </w:r>
      <w:r w:rsidRPr="005D5654">
        <w:rPr>
          <w:rFonts w:ascii="Arial" w:hAnsi="Arial" w:cs="Arial"/>
          <w:sz w:val="20"/>
        </w:rPr>
        <w:t>, 206 F.3d 1358 (10th Cir. 2000).</w:t>
      </w:r>
    </w:p>
    <w:p w:rsidR="000633C1" w:rsidRPr="005D5654" w:rsidRDefault="00B028A2">
      <w:pPr>
        <w:pStyle w:val="NormalWeb"/>
        <w:rPr>
          <w:rFonts w:ascii="Arial" w:hAnsi="Arial" w:cs="Arial"/>
          <w:sz w:val="20"/>
        </w:rPr>
      </w:pPr>
      <w:r w:rsidRPr="005D5654">
        <w:rPr>
          <w:rFonts w:ascii="Arial" w:hAnsi="Arial" w:cs="Arial"/>
          <w:sz w:val="20"/>
        </w:rPr>
        <w:t>CROSS REF.:         2:260 (Uniform Grievance Procedure), 5:20 (Workplace Harassment Prohibited), 7:10 (Equal Educational Opportunities), 7:180 (Prevention of and Response to Bullying, Intimidation, and Harassment), 7:190 (Student Behavior),</w:t>
      </w:r>
    </w:p>
    <w:p w:rsidR="000633C1" w:rsidRPr="005D5654" w:rsidRDefault="00B028A2">
      <w:pPr>
        <w:pStyle w:val="NormalWeb"/>
        <w:rPr>
          <w:rFonts w:ascii="Arial" w:hAnsi="Arial" w:cs="Arial"/>
          <w:sz w:val="20"/>
        </w:rPr>
      </w:pPr>
      <w:r w:rsidRPr="005D5654">
        <w:rPr>
          <w:rFonts w:ascii="Arial" w:hAnsi="Arial" w:cs="Arial"/>
          <w:sz w:val="20"/>
        </w:rPr>
        <w:t>EXECUTIVE COMMITTEE APPROVAL:     February 14, 2018</w:t>
      </w:r>
    </w:p>
    <w:p w:rsidR="005D5654" w:rsidRDefault="00B028A2" w:rsidP="005D5654">
      <w:pPr>
        <w:pStyle w:val="NormalWeb"/>
        <w:rPr>
          <w:rFonts w:ascii="Arial" w:hAnsi="Arial" w:cs="Arial"/>
          <w:sz w:val="20"/>
        </w:rPr>
      </w:pPr>
      <w:r w:rsidRPr="005D5654">
        <w:rPr>
          <w:rFonts w:ascii="Arial" w:hAnsi="Arial" w:cs="Arial"/>
          <w:sz w:val="20"/>
        </w:rPr>
        <w:t>POLICY BOARD APPROVAL:     September 3, 2015</w:t>
      </w:r>
    </w:p>
    <w:p w:rsidR="000633C1" w:rsidRPr="005D5654" w:rsidRDefault="00B028A2" w:rsidP="005D5654">
      <w:pPr>
        <w:pStyle w:val="NormalWeb"/>
        <w:jc w:val="center"/>
        <w:rPr>
          <w:rFonts w:ascii="Arial" w:hAnsi="Arial" w:cs="Arial"/>
          <w:b/>
          <w:color w:val="800000"/>
          <w:sz w:val="20"/>
        </w:rPr>
      </w:pPr>
      <w:r w:rsidRPr="005D5654">
        <w:rPr>
          <w:rFonts w:ascii="Arial" w:hAnsi="Arial" w:cs="Arial"/>
          <w:b/>
          <w:color w:val="800000"/>
          <w:sz w:val="20"/>
        </w:rPr>
        <w:t>Tazewell-Mason Counties Special Ed Association</w:t>
      </w:r>
    </w:p>
    <w:sectPr w:rsidR="000633C1" w:rsidRPr="005D5654" w:rsidSect="005D5654">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A7253"/>
    <w:multiLevelType w:val="hybridMultilevel"/>
    <w:tmpl w:val="7222FCEE"/>
    <w:lvl w:ilvl="0" w:tplc="F154E1F4">
      <w:start w:val="1"/>
      <w:numFmt w:val="lowerLetter"/>
      <w:lvlText w:val="%1."/>
      <w:lvlJc w:val="left"/>
      <w:pPr>
        <w:ind w:left="720" w:hanging="360"/>
      </w:pPr>
    </w:lvl>
    <w:lvl w:ilvl="1" w:tplc="D89ED6F8">
      <w:start w:val="1"/>
      <w:numFmt w:val="decimal"/>
      <w:lvlText w:val="%2."/>
      <w:lvlJc w:val="left"/>
      <w:pPr>
        <w:ind w:left="1080" w:hanging="360"/>
      </w:pPr>
    </w:lvl>
    <w:lvl w:ilvl="2" w:tplc="877C187A">
      <w:start w:val="1"/>
      <w:numFmt w:val="decimal"/>
      <w:lvlText w:val="%3."/>
      <w:lvlJc w:val="left"/>
      <w:pPr>
        <w:ind w:left="1440" w:hanging="360"/>
      </w:pPr>
    </w:lvl>
    <w:lvl w:ilvl="3" w:tplc="66EAA752">
      <w:start w:val="1"/>
      <w:numFmt w:val="decimal"/>
      <w:lvlText w:val="%4."/>
      <w:lvlJc w:val="left"/>
      <w:pPr>
        <w:ind w:left="1800" w:hanging="360"/>
      </w:pPr>
    </w:lvl>
    <w:lvl w:ilvl="4" w:tplc="952C67C6">
      <w:start w:val="1"/>
      <w:numFmt w:val="decimal"/>
      <w:lvlText w:val="%5."/>
      <w:lvlJc w:val="left"/>
      <w:pPr>
        <w:ind w:left="2160" w:hanging="360"/>
      </w:pPr>
    </w:lvl>
    <w:lvl w:ilvl="5" w:tplc="A014BA8C">
      <w:start w:val="1"/>
      <w:numFmt w:val="decimal"/>
      <w:lvlText w:val="%6."/>
      <w:lvlJc w:val="left"/>
      <w:pPr>
        <w:ind w:left="2520" w:hanging="360"/>
      </w:pPr>
    </w:lvl>
    <w:lvl w:ilvl="6" w:tplc="2CF291E2">
      <w:start w:val="1"/>
      <w:numFmt w:val="decimal"/>
      <w:lvlText w:val="%7."/>
      <w:lvlJc w:val="left"/>
      <w:pPr>
        <w:ind w:left="2880" w:hanging="360"/>
      </w:pPr>
    </w:lvl>
    <w:lvl w:ilvl="7" w:tplc="21BEFDE2">
      <w:start w:val="1"/>
      <w:numFmt w:val="decimal"/>
      <w:lvlText w:val="%8."/>
      <w:lvlJc w:val="left"/>
      <w:pPr>
        <w:ind w:left="3240" w:hanging="360"/>
      </w:pPr>
    </w:lvl>
    <w:lvl w:ilvl="8" w:tplc="7226C074">
      <w:start w:val="1"/>
      <w:numFmt w:val="decimal"/>
      <w:lvlText w:val="%9."/>
      <w:lvlJc w:val="left"/>
      <w:pPr>
        <w:ind w:left="3600" w:hanging="360"/>
      </w:pPr>
    </w:lvl>
  </w:abstractNum>
  <w:abstractNum w:abstractNumId="1">
    <w:nsid w:val="51E44C75"/>
    <w:multiLevelType w:val="hybridMultilevel"/>
    <w:tmpl w:val="F2067650"/>
    <w:lvl w:ilvl="0" w:tplc="7516308C">
      <w:start w:val="1"/>
      <w:numFmt w:val="decimal"/>
      <w:lvlText w:val="%1."/>
      <w:lvlJc w:val="left"/>
      <w:pPr>
        <w:ind w:left="720" w:hanging="360"/>
      </w:pPr>
    </w:lvl>
    <w:lvl w:ilvl="1" w:tplc="CFC655C6">
      <w:start w:val="1"/>
      <w:numFmt w:val="decimal"/>
      <w:lvlText w:val="%2."/>
      <w:lvlJc w:val="left"/>
      <w:pPr>
        <w:ind w:left="1080" w:hanging="360"/>
      </w:pPr>
    </w:lvl>
    <w:lvl w:ilvl="2" w:tplc="22580E5C">
      <w:start w:val="1"/>
      <w:numFmt w:val="decimal"/>
      <w:lvlText w:val="%3."/>
      <w:lvlJc w:val="left"/>
      <w:pPr>
        <w:ind w:left="1440" w:hanging="360"/>
      </w:pPr>
    </w:lvl>
    <w:lvl w:ilvl="3" w:tplc="4BE62B38">
      <w:start w:val="1"/>
      <w:numFmt w:val="decimal"/>
      <w:lvlText w:val="%4."/>
      <w:lvlJc w:val="left"/>
      <w:pPr>
        <w:ind w:left="1800" w:hanging="360"/>
      </w:pPr>
    </w:lvl>
    <w:lvl w:ilvl="4" w:tplc="884EBD28">
      <w:start w:val="1"/>
      <w:numFmt w:val="decimal"/>
      <w:lvlText w:val="%5."/>
      <w:lvlJc w:val="left"/>
      <w:pPr>
        <w:ind w:left="2160" w:hanging="360"/>
      </w:pPr>
    </w:lvl>
    <w:lvl w:ilvl="5" w:tplc="4AFCFFE0">
      <w:start w:val="1"/>
      <w:numFmt w:val="decimal"/>
      <w:lvlText w:val="%6."/>
      <w:lvlJc w:val="left"/>
      <w:pPr>
        <w:ind w:left="2520" w:hanging="360"/>
      </w:pPr>
    </w:lvl>
    <w:lvl w:ilvl="6" w:tplc="CD8CE8C6">
      <w:start w:val="1"/>
      <w:numFmt w:val="decimal"/>
      <w:lvlText w:val="%7."/>
      <w:lvlJc w:val="left"/>
      <w:pPr>
        <w:ind w:left="2880" w:hanging="360"/>
      </w:pPr>
    </w:lvl>
    <w:lvl w:ilvl="7" w:tplc="B838B866">
      <w:start w:val="1"/>
      <w:numFmt w:val="decimal"/>
      <w:lvlText w:val="%8."/>
      <w:lvlJc w:val="left"/>
      <w:pPr>
        <w:ind w:left="3240" w:hanging="360"/>
      </w:pPr>
    </w:lvl>
    <w:lvl w:ilvl="8" w:tplc="A7A8806C">
      <w:start w:val="1"/>
      <w:numFmt w:val="decimal"/>
      <w:lvlText w:val="%9."/>
      <w:lvlJc w:val="left"/>
      <w:pPr>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0633C1"/>
    <w:rsid w:val="000633C1"/>
    <w:rsid w:val="005D5654"/>
    <w:rsid w:val="00B02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ricFields">
    <w:name w:val="genericFields"/>
    <w:basedOn w:val="Normal"/>
    <w:pPr>
      <w:spacing w:before="100" w:beforeAutospacing="1" w:after="100" w:afterAutospacing="1"/>
    </w:pPr>
  </w:style>
  <w:style w:type="paragraph" w:styleId="NormalWeb">
    <w:name w:val="Normal (Web)"/>
    <w:basedOn w:val="Normal"/>
    <w:uiPriority w:val="99"/>
    <w:pPr>
      <w:spacing w:before="100" w:beforeAutospacing="1" w:after="100" w:afterAutospacing="1"/>
    </w:pPr>
  </w:style>
  <w:style w:type="paragraph" w:styleId="BalloonText">
    <w:name w:val="Balloon Text"/>
    <w:basedOn w:val="Normal"/>
    <w:link w:val="BalloonTextChar"/>
    <w:uiPriority w:val="99"/>
    <w:semiHidden/>
    <w:unhideWhenUsed/>
    <w:rsid w:val="00B028A2"/>
    <w:rPr>
      <w:rFonts w:ascii="Tahoma" w:hAnsi="Tahoma" w:cs="Tahoma"/>
      <w:sz w:val="16"/>
      <w:szCs w:val="16"/>
    </w:rPr>
  </w:style>
  <w:style w:type="character" w:customStyle="1" w:styleId="BalloonTextChar">
    <w:name w:val="Balloon Text Char"/>
    <w:basedOn w:val="DefaultParagraphFont"/>
    <w:link w:val="BalloonText"/>
    <w:uiPriority w:val="99"/>
    <w:semiHidden/>
    <w:rsid w:val="00B028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ricFields">
    <w:name w:val="genericFields"/>
    <w:basedOn w:val="Normal"/>
    <w:pPr>
      <w:spacing w:before="100" w:beforeAutospacing="1" w:after="100" w:afterAutospacing="1"/>
    </w:pPr>
  </w:style>
  <w:style w:type="paragraph" w:styleId="NormalWeb">
    <w:name w:val="Normal (Web)"/>
    <w:basedOn w:val="Normal"/>
    <w:uiPriority w:val="99"/>
    <w:pPr>
      <w:spacing w:before="100" w:beforeAutospacing="1" w:after="100" w:afterAutospacing="1"/>
    </w:pPr>
  </w:style>
  <w:style w:type="paragraph" w:styleId="BalloonText">
    <w:name w:val="Balloon Text"/>
    <w:basedOn w:val="Normal"/>
    <w:link w:val="BalloonTextChar"/>
    <w:uiPriority w:val="99"/>
    <w:semiHidden/>
    <w:unhideWhenUsed/>
    <w:rsid w:val="00B028A2"/>
    <w:rPr>
      <w:rFonts w:ascii="Tahoma" w:hAnsi="Tahoma" w:cs="Tahoma"/>
      <w:sz w:val="16"/>
      <w:szCs w:val="16"/>
    </w:rPr>
  </w:style>
  <w:style w:type="character" w:customStyle="1" w:styleId="BalloonTextChar">
    <w:name w:val="Balloon Text Char"/>
    <w:basedOn w:val="DefaultParagraphFont"/>
    <w:link w:val="BalloonText"/>
    <w:uiPriority w:val="99"/>
    <w:semiHidden/>
    <w:rsid w:val="00B028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887</Words>
  <Characters>5059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Terrie Schappaugh</dc:creator>
  <cp:lastModifiedBy>Terrie Schappaugh</cp:lastModifiedBy>
  <cp:revision>4</cp:revision>
  <cp:lastPrinted>2018-08-03T18:13:00Z</cp:lastPrinted>
  <dcterms:created xsi:type="dcterms:W3CDTF">2018-08-03T15:40:00Z</dcterms:created>
  <dcterms:modified xsi:type="dcterms:W3CDTF">2018-08-03T18:13:00Z</dcterms:modified>
</cp:coreProperties>
</file>